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88" w:rsidRPr="005A4688" w:rsidRDefault="005A4688" w:rsidP="005A4688">
      <w:pPr>
        <w:pStyle w:val="NormalWeb"/>
        <w:jc w:val="center"/>
        <w:rPr>
          <w:sz w:val="36"/>
          <w:szCs w:val="36"/>
        </w:rPr>
      </w:pPr>
      <w:r w:rsidRPr="005A4688">
        <w:rPr>
          <w:sz w:val="36"/>
          <w:szCs w:val="36"/>
        </w:rPr>
        <w:t>Standar Akuntansi Keuangan (SAK) Entitas Privat</w:t>
      </w:r>
    </w:p>
    <w:p w:rsidR="005A4688" w:rsidRDefault="005A4688" w:rsidP="005A4688">
      <w:pPr>
        <w:pStyle w:val="NormalWeb"/>
      </w:pPr>
    </w:p>
    <w:p w:rsidR="005A4688" w:rsidRPr="00D970F3" w:rsidRDefault="005A4688" w:rsidP="00D970F3">
      <w:pPr>
        <w:pStyle w:val="NormalWeb"/>
        <w:spacing w:line="360" w:lineRule="auto"/>
        <w:jc w:val="both"/>
      </w:pPr>
      <w:r w:rsidRPr="00D970F3">
        <w:t xml:space="preserve">Standar Akuntansi Keuangan (SAK) Entitas Privat disusun untuk memenuhi kebutuhan pelaporan keuangan entitas privat sebagaimana dideskripsikan dalam Bab 1 </w:t>
      </w:r>
      <w:r w:rsidRPr="00D970F3">
        <w:rPr>
          <w:i/>
          <w:iCs/>
        </w:rPr>
        <w:t>Entitas Privat</w:t>
      </w:r>
      <w:r w:rsidRPr="00D970F3">
        <w:t>.</w:t>
      </w:r>
    </w:p>
    <w:p w:rsidR="005A4688" w:rsidRPr="00D970F3" w:rsidRDefault="005A4688" w:rsidP="00D970F3">
      <w:pPr>
        <w:pStyle w:val="NormalWeb"/>
        <w:spacing w:line="360" w:lineRule="auto"/>
        <w:jc w:val="both"/>
      </w:pPr>
      <w:r w:rsidRPr="00D970F3">
        <w:t>SAK Entitas Privat ditujukan untuk digunakan oleh entitas yang tidak memiliki akuntabilitas publik dan menerbitkan laporan keuangan untuk tujuan umum (</w:t>
      </w:r>
      <w:r w:rsidRPr="00D970F3">
        <w:rPr>
          <w:i/>
          <w:iCs/>
        </w:rPr>
        <w:t>general purpose financial statements</w:t>
      </w:r>
      <w:r w:rsidRPr="00D970F3">
        <w:t>) bagi pengguna eksternal. Namun demikian, entitas yang memiliki akuntabilitas publik dapat menggunakan SAK Entitas Privat jika otoritas berwenang regulasi yang mengizinkan penggunaan SAK Entitas Privat.</w:t>
      </w:r>
    </w:p>
    <w:p w:rsidR="005A4688" w:rsidRPr="00D970F3" w:rsidRDefault="005A4688" w:rsidP="00D970F3">
      <w:pPr>
        <w:pStyle w:val="NormalWeb"/>
        <w:spacing w:line="360" w:lineRule="auto"/>
        <w:jc w:val="both"/>
      </w:pPr>
      <w:r w:rsidRPr="00D970F3">
        <w:t>SAK Entitas Privat disusun berdasarkan topik yang dinyatakan dalam Bab 1 sampai dengan Bab 35. Referensi silang ke bab atau paragraf lain hanya berlaku diantara bab-bab di dalam SAK Entitas Privat.</w:t>
      </w:r>
    </w:p>
    <w:p w:rsidR="005A4688" w:rsidRPr="00D970F3" w:rsidRDefault="005A4688" w:rsidP="00D970F3">
      <w:pPr>
        <w:pStyle w:val="NormalWeb"/>
        <w:spacing w:line="360" w:lineRule="auto"/>
        <w:jc w:val="both"/>
      </w:pPr>
      <w:r w:rsidRPr="00D970F3">
        <w:t xml:space="preserve">Dalam SAK Entitas Privat, penyajian wajar laporan keuangan mensyaratkan penyajian secara jujur dampak dari transaksi, peristiwa dan kondisi lain sesuai dengan definisi dan kriteria pengakuan aset, penghasilan dan beban yang diatur dalam BAB 2 </w:t>
      </w:r>
      <w:r w:rsidRPr="00D970F3">
        <w:rPr>
          <w:i/>
          <w:iCs/>
        </w:rPr>
        <w:t>Konsep dan Prinsip Pervasif.</w:t>
      </w:r>
    </w:p>
    <w:p w:rsidR="005A4688" w:rsidRPr="00D970F3" w:rsidRDefault="005A4688" w:rsidP="00D970F3">
      <w:pPr>
        <w:pStyle w:val="NormalWeb"/>
        <w:spacing w:line="360" w:lineRule="auto"/>
        <w:jc w:val="both"/>
      </w:pPr>
      <w:r w:rsidRPr="00D970F3">
        <w:t xml:space="preserve">SAK Entitas Privat dilengkapi dengan Contoh Laporan Keuangan Ilustratif. Contoh tersebut dan contoh yang disampaikan dalam Bab SAK Entitas Privat ini merupakan contoh-contoh yang diadopsi </w:t>
      </w:r>
      <w:r w:rsidRPr="00D970F3">
        <w:rPr>
          <w:i/>
          <w:iCs/>
        </w:rPr>
        <w:t xml:space="preserve">IFRS for SMEs </w:t>
      </w:r>
      <w:r w:rsidRPr="00D970F3">
        <w:t>(</w:t>
      </w:r>
      <w:r w:rsidRPr="00D970F3">
        <w:rPr>
          <w:i/>
          <w:iCs/>
        </w:rPr>
        <w:t>IFRS for SMEs  </w:t>
      </w:r>
      <w:r w:rsidRPr="00D970F3">
        <w:t>versi 2015 yang berlaku efektif  1 Januari 2017). Penerapan contoh tersebut perlu memperhatikan kesesuaian dengan praktik di Indonesia.</w:t>
      </w:r>
    </w:p>
    <w:p w:rsidR="005A4688" w:rsidRPr="00D970F3" w:rsidRDefault="005A4688" w:rsidP="00D970F3">
      <w:pPr>
        <w:pStyle w:val="NormalWeb"/>
        <w:spacing w:line="360" w:lineRule="auto"/>
        <w:jc w:val="both"/>
      </w:pPr>
      <w:r w:rsidRPr="00D970F3">
        <w:t>SAK Entitas Privat berlaku efektif pada tanggal 1 Januari 2025, penerapan dini diperkenankan.</w:t>
      </w:r>
    </w:p>
    <w:p w:rsidR="00D970F3" w:rsidRPr="00D970F3" w:rsidRDefault="00D970F3" w:rsidP="00D970F3">
      <w:pPr>
        <w:pStyle w:val="NormalWeb"/>
        <w:spacing w:line="360" w:lineRule="auto"/>
        <w:jc w:val="center"/>
        <w:rPr>
          <w:sz w:val="36"/>
          <w:szCs w:val="36"/>
        </w:rPr>
      </w:pPr>
      <w:r w:rsidRPr="00D970F3">
        <w:rPr>
          <w:sz w:val="36"/>
          <w:szCs w:val="36"/>
        </w:rPr>
        <w:t>Pengesahan SAK EP</w:t>
      </w:r>
    </w:p>
    <w:p w:rsidR="00D970F3" w:rsidRPr="00D970F3" w:rsidRDefault="00D970F3" w:rsidP="00D970F3">
      <w:pPr>
        <w:spacing w:after="0" w:line="360" w:lineRule="auto"/>
        <w:jc w:val="both"/>
        <w:rPr>
          <w:rFonts w:ascii="Times New Roman" w:eastAsia="Times New Roman" w:hAnsi="Times New Roman" w:cs="Times New Roman"/>
          <w:sz w:val="24"/>
          <w:szCs w:val="24"/>
          <w:lang w:eastAsia="id-ID"/>
        </w:rPr>
      </w:pPr>
      <w:r w:rsidRPr="00D970F3">
        <w:rPr>
          <w:rFonts w:ascii="Times New Roman" w:eastAsia="Times New Roman" w:hAnsi="Times New Roman" w:cs="Times New Roman"/>
          <w:sz w:val="24"/>
          <w:szCs w:val="24"/>
          <w:lang w:eastAsia="id-ID"/>
        </w:rPr>
        <w:t xml:space="preserve">Pada 30 Juni 2021 Dewan Standar Akuntansi Keuangan Ikatan Akuntan Indonesia (DSAK IAI) telah mengesahkan Standar Akuntansi Keuangan Entitas Privat (SAK EP) yang merupakan adopsi dari </w:t>
      </w:r>
      <w:r w:rsidRPr="00D970F3">
        <w:rPr>
          <w:rFonts w:ascii="Times New Roman" w:eastAsia="Times New Roman" w:hAnsi="Times New Roman" w:cs="Times New Roman"/>
          <w:i/>
          <w:iCs/>
          <w:sz w:val="24"/>
          <w:szCs w:val="24"/>
          <w:lang w:eastAsia="id-ID"/>
        </w:rPr>
        <w:t>IFRS for SMEs</w:t>
      </w:r>
      <w:r w:rsidRPr="00D970F3">
        <w:rPr>
          <w:rFonts w:ascii="Times New Roman" w:eastAsia="Times New Roman" w:hAnsi="Times New Roman" w:cs="Times New Roman"/>
          <w:sz w:val="24"/>
          <w:szCs w:val="24"/>
          <w:lang w:eastAsia="id-ID"/>
        </w:rPr>
        <w:t xml:space="preserve"> dengan mempertimbangkan kondisi di Indonesia. SAK EP akan berlaku efektif pada 2025 dan diizinkan untuk diterapkan lebih awal. SAK EP akan menggantikan SAK Entitas Tanpa Akuntabilitas Publik (ETAP).</w:t>
      </w:r>
    </w:p>
    <w:p w:rsidR="00D970F3" w:rsidRPr="00D970F3" w:rsidRDefault="00D970F3" w:rsidP="00D970F3">
      <w:pPr>
        <w:spacing w:after="0" w:line="360" w:lineRule="auto"/>
        <w:jc w:val="both"/>
        <w:rPr>
          <w:rFonts w:ascii="Times New Roman" w:eastAsia="Times New Roman" w:hAnsi="Times New Roman" w:cs="Times New Roman"/>
          <w:sz w:val="24"/>
          <w:szCs w:val="24"/>
          <w:lang w:eastAsia="id-ID"/>
        </w:rPr>
      </w:pPr>
      <w:r w:rsidRPr="00D970F3">
        <w:rPr>
          <w:rFonts w:ascii="Times New Roman" w:eastAsia="Times New Roman" w:hAnsi="Times New Roman" w:cs="Times New Roman"/>
          <w:sz w:val="24"/>
          <w:szCs w:val="24"/>
          <w:lang w:eastAsia="id-ID"/>
        </w:rPr>
        <w:lastRenderedPageBreak/>
        <w:t>SAK EP disusun untuk memenuhi kebutuhan pelaporan keuangan bagi entitas privat yaitu entitas yang tidak memiliki akuntabilitas publik dan menerbitkan laporan keuangan untuk tujuan umum (</w:t>
      </w:r>
      <w:r w:rsidRPr="00D970F3">
        <w:rPr>
          <w:rFonts w:ascii="Times New Roman" w:eastAsia="Times New Roman" w:hAnsi="Times New Roman" w:cs="Times New Roman"/>
          <w:i/>
          <w:iCs/>
          <w:sz w:val="24"/>
          <w:szCs w:val="24"/>
          <w:lang w:eastAsia="id-ID"/>
        </w:rPr>
        <w:t>general purpose financial statements</w:t>
      </w:r>
      <w:r w:rsidRPr="00D970F3">
        <w:rPr>
          <w:rFonts w:ascii="Times New Roman" w:eastAsia="Times New Roman" w:hAnsi="Times New Roman" w:cs="Times New Roman"/>
          <w:sz w:val="24"/>
          <w:szCs w:val="24"/>
          <w:lang w:eastAsia="id-ID"/>
        </w:rPr>
        <w:t>) bagi pengguna eksternal. Entitas yang memiliki akuntabilitas publik dapat menerapkan SAK EP jika diizinkan oleh regulasi otoritas berwenang.</w:t>
      </w:r>
    </w:p>
    <w:p w:rsidR="00D970F3" w:rsidRPr="00D970F3" w:rsidRDefault="00D970F3" w:rsidP="00D970F3">
      <w:pPr>
        <w:spacing w:after="0" w:line="360" w:lineRule="auto"/>
        <w:jc w:val="both"/>
        <w:rPr>
          <w:rFonts w:ascii="Times New Roman" w:eastAsia="Times New Roman" w:hAnsi="Times New Roman" w:cs="Times New Roman"/>
          <w:sz w:val="24"/>
          <w:szCs w:val="24"/>
          <w:lang w:eastAsia="id-ID"/>
        </w:rPr>
      </w:pPr>
      <w:r w:rsidRPr="00D970F3">
        <w:rPr>
          <w:rFonts w:ascii="Times New Roman" w:eastAsia="Times New Roman" w:hAnsi="Times New Roman" w:cs="Times New Roman"/>
          <w:sz w:val="24"/>
          <w:szCs w:val="24"/>
          <w:lang w:eastAsia="id-ID"/>
        </w:rPr>
        <w:t>SAK EP lebih sederhana daripada SAK Umum yang berbasis IFRS, yaitu:</w:t>
      </w:r>
    </w:p>
    <w:p w:rsidR="00D970F3" w:rsidRPr="00D970F3" w:rsidRDefault="00D970F3" w:rsidP="00D970F3">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970F3">
        <w:rPr>
          <w:rFonts w:ascii="Times New Roman" w:eastAsia="Times New Roman" w:hAnsi="Times New Roman" w:cs="Times New Roman"/>
          <w:sz w:val="24"/>
          <w:szCs w:val="24"/>
          <w:lang w:eastAsia="id-ID"/>
        </w:rPr>
        <w:t>Menghilangkan topik yang tidak relevan bagi entitas privat, misalnya laba per saham, laporan keuangan interim, dan segmen operasi.</w:t>
      </w:r>
    </w:p>
    <w:p w:rsidR="00D970F3" w:rsidRPr="00D970F3" w:rsidRDefault="00D970F3" w:rsidP="00D970F3">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970F3">
        <w:rPr>
          <w:rFonts w:ascii="Times New Roman" w:eastAsia="Times New Roman" w:hAnsi="Times New Roman" w:cs="Times New Roman"/>
          <w:sz w:val="24"/>
          <w:szCs w:val="24"/>
          <w:lang w:eastAsia="id-ID"/>
        </w:rPr>
        <w:t>Menyederhanakan opsi kebijakan akuntansi, sehingga entitas privat akan mengikuti kebijakan akuntansi tunggal untuk transaksi, peristiwa atau kondisi tertentu. Misalnya, properti investasi diukur dengan model nilai wajar jika tanpa biaya atau upaya yang berlebihan. Jika memerlukan biaya atau upaya yang berlebihan, maka menggunakan model biaya.</w:t>
      </w:r>
    </w:p>
    <w:p w:rsidR="00D970F3" w:rsidRPr="00D970F3" w:rsidRDefault="00D970F3" w:rsidP="00D970F3">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970F3">
        <w:rPr>
          <w:rFonts w:ascii="Times New Roman" w:eastAsia="Times New Roman" w:hAnsi="Times New Roman" w:cs="Times New Roman"/>
          <w:sz w:val="24"/>
          <w:szCs w:val="24"/>
          <w:lang w:eastAsia="id-ID"/>
        </w:rPr>
        <w:t>Penyederhanaan beberapa prinsip pengakuan dan pengukuran.</w:t>
      </w:r>
    </w:p>
    <w:p w:rsidR="00D970F3" w:rsidRPr="00D970F3" w:rsidRDefault="00D970F3" w:rsidP="00D970F3">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970F3">
        <w:rPr>
          <w:rFonts w:ascii="Times New Roman" w:eastAsia="Times New Roman" w:hAnsi="Times New Roman" w:cs="Times New Roman"/>
          <w:sz w:val="24"/>
          <w:szCs w:val="24"/>
          <w:lang w:eastAsia="id-ID"/>
        </w:rPr>
        <w:t>Pengungkapan yang lebih sedikit.</w:t>
      </w:r>
    </w:p>
    <w:p w:rsidR="00D970F3" w:rsidRPr="00D970F3" w:rsidRDefault="00D970F3" w:rsidP="00D970F3">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970F3">
        <w:rPr>
          <w:rFonts w:ascii="Times New Roman" w:eastAsia="Times New Roman" w:hAnsi="Times New Roman" w:cs="Times New Roman"/>
          <w:sz w:val="24"/>
          <w:szCs w:val="24"/>
          <w:lang w:eastAsia="id-ID"/>
        </w:rPr>
        <w:t>Penggunaan bahasa yang lebih sederhana.</w:t>
      </w:r>
    </w:p>
    <w:p w:rsidR="00D970F3" w:rsidRPr="00D970F3" w:rsidRDefault="00D970F3" w:rsidP="00D970F3">
      <w:pPr>
        <w:spacing w:after="0" w:line="360" w:lineRule="auto"/>
        <w:jc w:val="both"/>
        <w:rPr>
          <w:rFonts w:ascii="Times New Roman" w:eastAsia="Times New Roman" w:hAnsi="Times New Roman" w:cs="Times New Roman"/>
          <w:sz w:val="24"/>
          <w:szCs w:val="24"/>
          <w:lang w:eastAsia="id-ID"/>
        </w:rPr>
      </w:pPr>
      <w:r w:rsidRPr="00D970F3">
        <w:rPr>
          <w:rFonts w:ascii="Times New Roman" w:eastAsia="Times New Roman" w:hAnsi="Times New Roman" w:cs="Times New Roman"/>
          <w:sz w:val="24"/>
          <w:szCs w:val="24"/>
          <w:lang w:eastAsia="id-ID"/>
        </w:rPr>
        <w:t>SAK EP memiliki perbedaan yang signifikan dengan SAK ETAP. Misalnya penggunaan nilai wajar untuk properti investasi dan aset biologis, penggunaan konsep penghasilan komprehensif lain (</w:t>
      </w:r>
      <w:r w:rsidRPr="00D970F3">
        <w:rPr>
          <w:rFonts w:ascii="Times New Roman" w:eastAsia="Times New Roman" w:hAnsi="Times New Roman" w:cs="Times New Roman"/>
          <w:i/>
          <w:iCs/>
          <w:sz w:val="24"/>
          <w:szCs w:val="24"/>
          <w:lang w:eastAsia="id-ID"/>
        </w:rPr>
        <w:t>other comprehensive income</w:t>
      </w:r>
      <w:r w:rsidRPr="00D970F3">
        <w:rPr>
          <w:rFonts w:ascii="Times New Roman" w:eastAsia="Times New Roman" w:hAnsi="Times New Roman" w:cs="Times New Roman"/>
          <w:sz w:val="24"/>
          <w:szCs w:val="24"/>
          <w:lang w:eastAsia="id-ID"/>
        </w:rPr>
        <w:t xml:space="preserve">), laporan keuangan konsolidasian, kombinasi bisnis dan </w:t>
      </w:r>
      <w:r w:rsidRPr="00D970F3">
        <w:rPr>
          <w:rFonts w:ascii="Times New Roman" w:eastAsia="Times New Roman" w:hAnsi="Times New Roman" w:cs="Times New Roman"/>
          <w:i/>
          <w:iCs/>
          <w:sz w:val="24"/>
          <w:szCs w:val="24"/>
          <w:lang w:eastAsia="id-ID"/>
        </w:rPr>
        <w:t>goodwill</w:t>
      </w:r>
      <w:r w:rsidRPr="00D970F3">
        <w:rPr>
          <w:rFonts w:ascii="Times New Roman" w:eastAsia="Times New Roman" w:hAnsi="Times New Roman" w:cs="Times New Roman"/>
          <w:sz w:val="24"/>
          <w:szCs w:val="24"/>
          <w:lang w:eastAsia="id-ID"/>
        </w:rPr>
        <w:t>, pengaturan lebih rinci untuk aset dan liabilitas keuangan, pajak tangguhan, dll. </w:t>
      </w:r>
    </w:p>
    <w:p w:rsidR="00620145" w:rsidRDefault="00620145" w:rsidP="00D970F3">
      <w:pPr>
        <w:spacing w:line="360" w:lineRule="auto"/>
        <w:jc w:val="both"/>
        <w:rPr>
          <w:sz w:val="24"/>
          <w:szCs w:val="24"/>
        </w:rPr>
      </w:pPr>
    </w:p>
    <w:p w:rsidR="00781249" w:rsidRPr="00781249" w:rsidRDefault="00781249" w:rsidP="00781249">
      <w:pPr>
        <w:spacing w:before="100" w:beforeAutospacing="1" w:after="100" w:afterAutospacing="1" w:line="360" w:lineRule="auto"/>
        <w:jc w:val="both"/>
        <w:rPr>
          <w:rFonts w:ascii="Times New Roman" w:eastAsia="Times New Roman" w:hAnsi="Times New Roman" w:cs="Times New Roman"/>
          <w:sz w:val="24"/>
          <w:szCs w:val="24"/>
          <w:lang w:eastAsia="id-ID"/>
        </w:rPr>
      </w:pPr>
      <w:r w:rsidRPr="00781249">
        <w:rPr>
          <w:rFonts w:ascii="Times New Roman" w:eastAsia="Times New Roman" w:hAnsi="Times New Roman" w:cs="Times New Roman"/>
          <w:sz w:val="24"/>
          <w:szCs w:val="24"/>
          <w:lang w:eastAsia="id-ID"/>
        </w:rPr>
        <w:t>SAK</w:t>
      </w:r>
      <w:r>
        <w:rPr>
          <w:rFonts w:ascii="Times New Roman" w:eastAsia="Times New Roman" w:hAnsi="Times New Roman" w:cs="Times New Roman"/>
          <w:sz w:val="24"/>
          <w:szCs w:val="24"/>
          <w:lang w:eastAsia="id-ID"/>
        </w:rPr>
        <w:t xml:space="preserve"> </w:t>
      </w:r>
      <w:r w:rsidRPr="00781249">
        <w:rPr>
          <w:rFonts w:ascii="Times New Roman" w:eastAsia="Times New Roman" w:hAnsi="Times New Roman" w:cs="Times New Roman"/>
          <w:sz w:val="24"/>
          <w:szCs w:val="24"/>
          <w:lang w:eastAsia="id-ID"/>
        </w:rPr>
        <w:t>EP akan efektif berlaku 1 Januari 2025, untuk itu perusahaan yang saat ini menggunakan SAK ETAP harus mempersiapkan diri agar pada saat efektif berlaku dapat menyusun laporan keuangan sesuai dengan SAK</w:t>
      </w:r>
      <w:r w:rsidR="00A7343A">
        <w:rPr>
          <w:rFonts w:ascii="Times New Roman" w:eastAsia="Times New Roman" w:hAnsi="Times New Roman" w:cs="Times New Roman"/>
          <w:sz w:val="24"/>
          <w:szCs w:val="24"/>
          <w:lang w:eastAsia="id-ID"/>
        </w:rPr>
        <w:t xml:space="preserve"> </w:t>
      </w:r>
      <w:bookmarkStart w:id="0" w:name="_GoBack"/>
      <w:bookmarkEnd w:id="0"/>
      <w:r w:rsidRPr="00781249">
        <w:rPr>
          <w:rFonts w:ascii="Times New Roman" w:eastAsia="Times New Roman" w:hAnsi="Times New Roman" w:cs="Times New Roman"/>
          <w:sz w:val="24"/>
          <w:szCs w:val="24"/>
          <w:lang w:eastAsia="id-ID"/>
        </w:rPr>
        <w:t>EP. BPR termasuk menyusun LK menggunakan Pedoman Akuntansi BPR yang mendasarkan pada SAK ETAP. Secara otomatis walaupun PA BPR belum dirubah BPR harus menyesuaikan LK menggunakan SAKEP karena dalam PA BPR diatur bahwa penyusunan LK mengikuti regulasi dan standar baru tanpa menunggu perubahan PA BPR.</w:t>
      </w:r>
    </w:p>
    <w:p w:rsidR="00781249" w:rsidRPr="00781249" w:rsidRDefault="00781249" w:rsidP="00781249">
      <w:pPr>
        <w:spacing w:before="100" w:beforeAutospacing="1" w:after="100" w:afterAutospacing="1" w:line="360" w:lineRule="auto"/>
        <w:jc w:val="both"/>
        <w:rPr>
          <w:rFonts w:ascii="Times New Roman" w:eastAsia="Times New Roman" w:hAnsi="Times New Roman" w:cs="Times New Roman"/>
          <w:sz w:val="24"/>
          <w:szCs w:val="24"/>
          <w:lang w:eastAsia="id-ID"/>
        </w:rPr>
      </w:pPr>
      <w:r w:rsidRPr="00781249">
        <w:rPr>
          <w:rFonts w:ascii="Times New Roman" w:eastAsia="Times New Roman" w:hAnsi="Times New Roman" w:cs="Times New Roman"/>
          <w:sz w:val="24"/>
          <w:szCs w:val="24"/>
          <w:lang w:eastAsia="id-ID"/>
        </w:rPr>
        <w:t xml:space="preserve">Perubahan dan penambahan siginifikan dalam SAKEP dibandingkan dengan SAK ETAP terletak pengaturan instrumen keuangan; investasi pada entitas lain termasuk kombinasi bisnis dan konsolidasi; penyajian penghasilan komprehensif lain; penurunan nilai; pajak penghasilan </w:t>
      </w:r>
      <w:r w:rsidRPr="00781249">
        <w:rPr>
          <w:rFonts w:ascii="Times New Roman" w:eastAsia="Times New Roman" w:hAnsi="Times New Roman" w:cs="Times New Roman"/>
          <w:sz w:val="24"/>
          <w:szCs w:val="24"/>
          <w:lang w:eastAsia="id-ID"/>
        </w:rPr>
        <w:lastRenderedPageBreak/>
        <w:t>dan pengaturan khusus atas agrikultur, eksplorasi dan evaluasi sumber daya mineral dan perjanjian konsesi jasa.</w:t>
      </w:r>
    </w:p>
    <w:p w:rsidR="00781249" w:rsidRPr="00781249" w:rsidRDefault="00781249" w:rsidP="00781249">
      <w:pPr>
        <w:spacing w:before="100" w:beforeAutospacing="1" w:after="100" w:afterAutospacing="1" w:line="360" w:lineRule="auto"/>
        <w:jc w:val="both"/>
        <w:rPr>
          <w:rFonts w:ascii="Times New Roman" w:eastAsia="Times New Roman" w:hAnsi="Times New Roman" w:cs="Times New Roman"/>
          <w:sz w:val="24"/>
          <w:szCs w:val="24"/>
          <w:lang w:eastAsia="id-ID"/>
        </w:rPr>
      </w:pPr>
      <w:r w:rsidRPr="00781249">
        <w:rPr>
          <w:rFonts w:ascii="Times New Roman" w:eastAsia="Times New Roman" w:hAnsi="Times New Roman" w:cs="Times New Roman"/>
          <w:sz w:val="24"/>
          <w:szCs w:val="24"/>
          <w:lang w:eastAsia="id-ID"/>
        </w:rPr>
        <w:t>BPR sangat terpengaruh karena BPR saat ini menggunakan SAK ETAP, komponen instrumen keuangan sangat dominan dalam laporan posisi keuangan, selain perubahan yang sifatnya umum. Analis kredit BPR juga harus memahami SAKEP karena mayoritas perusahaan yang akan meminta pendanaan BPR menggukana SAK ETAP.</w:t>
      </w:r>
    </w:p>
    <w:p w:rsidR="00D970F3" w:rsidRPr="00D970F3" w:rsidRDefault="00D970F3" w:rsidP="00781249">
      <w:pPr>
        <w:spacing w:line="360" w:lineRule="auto"/>
        <w:jc w:val="both"/>
        <w:rPr>
          <w:sz w:val="24"/>
          <w:szCs w:val="24"/>
        </w:rPr>
      </w:pPr>
    </w:p>
    <w:sectPr w:rsidR="00D970F3" w:rsidRPr="00D97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C2FB4"/>
    <w:multiLevelType w:val="multilevel"/>
    <w:tmpl w:val="71C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88"/>
    <w:rsid w:val="005A4688"/>
    <w:rsid w:val="00620145"/>
    <w:rsid w:val="00781249"/>
    <w:rsid w:val="00A7343A"/>
    <w:rsid w:val="00D970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A15ED-151B-41D6-A184-1E83E42B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68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D97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8029">
      <w:bodyDiv w:val="1"/>
      <w:marLeft w:val="0"/>
      <w:marRight w:val="0"/>
      <w:marTop w:val="0"/>
      <w:marBottom w:val="0"/>
      <w:divBdr>
        <w:top w:val="none" w:sz="0" w:space="0" w:color="auto"/>
        <w:left w:val="none" w:sz="0" w:space="0" w:color="auto"/>
        <w:bottom w:val="none" w:sz="0" w:space="0" w:color="auto"/>
        <w:right w:val="none" w:sz="0" w:space="0" w:color="auto"/>
      </w:divBdr>
      <w:divsChild>
        <w:div w:id="273024328">
          <w:marLeft w:val="0"/>
          <w:marRight w:val="0"/>
          <w:marTop w:val="0"/>
          <w:marBottom w:val="0"/>
          <w:divBdr>
            <w:top w:val="none" w:sz="0" w:space="0" w:color="auto"/>
            <w:left w:val="none" w:sz="0" w:space="0" w:color="auto"/>
            <w:bottom w:val="none" w:sz="0" w:space="0" w:color="auto"/>
            <w:right w:val="none" w:sz="0" w:space="0" w:color="auto"/>
          </w:divBdr>
        </w:div>
        <w:div w:id="589042808">
          <w:marLeft w:val="0"/>
          <w:marRight w:val="0"/>
          <w:marTop w:val="0"/>
          <w:marBottom w:val="0"/>
          <w:divBdr>
            <w:top w:val="none" w:sz="0" w:space="0" w:color="auto"/>
            <w:left w:val="none" w:sz="0" w:space="0" w:color="auto"/>
            <w:bottom w:val="none" w:sz="0" w:space="0" w:color="auto"/>
            <w:right w:val="none" w:sz="0" w:space="0" w:color="auto"/>
          </w:divBdr>
        </w:div>
        <w:div w:id="1294215992">
          <w:marLeft w:val="0"/>
          <w:marRight w:val="0"/>
          <w:marTop w:val="0"/>
          <w:marBottom w:val="0"/>
          <w:divBdr>
            <w:top w:val="none" w:sz="0" w:space="0" w:color="auto"/>
            <w:left w:val="none" w:sz="0" w:space="0" w:color="auto"/>
            <w:bottom w:val="none" w:sz="0" w:space="0" w:color="auto"/>
            <w:right w:val="none" w:sz="0" w:space="0" w:color="auto"/>
          </w:divBdr>
        </w:div>
        <w:div w:id="1938781646">
          <w:marLeft w:val="0"/>
          <w:marRight w:val="0"/>
          <w:marTop w:val="0"/>
          <w:marBottom w:val="0"/>
          <w:divBdr>
            <w:top w:val="none" w:sz="0" w:space="0" w:color="auto"/>
            <w:left w:val="none" w:sz="0" w:space="0" w:color="auto"/>
            <w:bottom w:val="none" w:sz="0" w:space="0" w:color="auto"/>
            <w:right w:val="none" w:sz="0" w:space="0" w:color="auto"/>
          </w:divBdr>
        </w:div>
      </w:divsChild>
    </w:div>
    <w:div w:id="1513371810">
      <w:bodyDiv w:val="1"/>
      <w:marLeft w:val="0"/>
      <w:marRight w:val="0"/>
      <w:marTop w:val="0"/>
      <w:marBottom w:val="0"/>
      <w:divBdr>
        <w:top w:val="none" w:sz="0" w:space="0" w:color="auto"/>
        <w:left w:val="none" w:sz="0" w:space="0" w:color="auto"/>
        <w:bottom w:val="none" w:sz="0" w:space="0" w:color="auto"/>
        <w:right w:val="none" w:sz="0" w:space="0" w:color="auto"/>
      </w:divBdr>
    </w:div>
    <w:div w:id="1610695982">
      <w:bodyDiv w:val="1"/>
      <w:marLeft w:val="0"/>
      <w:marRight w:val="0"/>
      <w:marTop w:val="0"/>
      <w:marBottom w:val="0"/>
      <w:divBdr>
        <w:top w:val="none" w:sz="0" w:space="0" w:color="auto"/>
        <w:left w:val="none" w:sz="0" w:space="0" w:color="auto"/>
        <w:bottom w:val="none" w:sz="0" w:space="0" w:color="auto"/>
        <w:right w:val="none" w:sz="0" w:space="0" w:color="auto"/>
      </w:divBdr>
    </w:div>
    <w:div w:id="1635258764">
      <w:bodyDiv w:val="1"/>
      <w:marLeft w:val="0"/>
      <w:marRight w:val="0"/>
      <w:marTop w:val="0"/>
      <w:marBottom w:val="0"/>
      <w:divBdr>
        <w:top w:val="none" w:sz="0" w:space="0" w:color="auto"/>
        <w:left w:val="none" w:sz="0" w:space="0" w:color="auto"/>
        <w:bottom w:val="none" w:sz="0" w:space="0" w:color="auto"/>
        <w:right w:val="none" w:sz="0" w:space="0" w:color="auto"/>
      </w:divBdr>
    </w:div>
    <w:div w:id="183640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2025-10-23T23:25:00Z</dcterms:created>
  <dcterms:modified xsi:type="dcterms:W3CDTF">2025-10-24T00:10:00Z</dcterms:modified>
</cp:coreProperties>
</file>